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22 października 2018 </w:t>
      </w:r>
    </w:p>
    <w:p w:rsidR="003368F0" w:rsidRPr="003368F0" w:rsidRDefault="003368F0" w:rsidP="003368F0">
      <w:pPr>
        <w:spacing w:before="150" w:after="375" w:line="240" w:lineRule="auto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</w:pPr>
      <w:r w:rsidRPr="003368F0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Przedstawiamy program 12. Azjatyckiego Festiwalu Filmowego Pięć Smaków (14-21 listopada)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Azjatycki Festiwal Filmowy Pięć Smaków to coroczny przegląd kina z Azji Wschodniej, Południowo-Wschodniej i Południowej. Festiwal po raz dwunasty zaprezentuje starannie wyselekcjonowane filmy z krajów regionu: autorskie projekty, awangardowe animacje, klasyczne dzieła z archiwów filmowych, lokalne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blockbustery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oraz kino gatunkowe wyróżnione Azjatyckimi Nagrodami Filmowymi.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Zdecydowana większość filmów zostanie pokazana w Polsce po raz pierwszy, pięć z nich będzie miało na festiwalu swoje europejskie premiery. Festiwal odwiedzą twórcy z Azji, którzy dopełnią rozmową konteksty przestawionych tytułów.</w:t>
      </w:r>
    </w:p>
    <w:p w:rsidR="003368F0" w:rsidRPr="003368F0" w:rsidRDefault="003368F0" w:rsidP="003368F0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3019425"/>
            <wp:effectExtent l="0" t="0" r="0" b="9525"/>
            <wp:docPr id="7" name="Obraz 7" descr="https://www.piecsmakow.pl/pliki/wgrane/image/2018/mailing/Hotel_nad_rzek_2018_HONG_Sang-soo_02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iecsmakow.pl/pliki/wgrane/image/2018/mailing/Hotel_nad_rzek_2018_HONG_Sang-soo_02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Rok 2018 w kinie azjatyckim ubiega pod znakiem bardzo różnorodnych autorskich projektów uznanych już reżyserów, klasycznego kina gatunkowego, wysokobudżetowych produkcji, odnoszących wielkie sukcesy kasowe w światowym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box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office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Jednocześnie wyłania się młode pokolenie twórców, których filmy zaczynają być widoczne lub już święcą triumfy na międzynarodowych festiwalach.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W programie tegorocznej edycji znajdą się najważniejsze tytuły kina azjatyckiego tego roku, retrospektywy podsumowujące nowe nurty i kierunki rozwoju przemysłów filmowych regionu oraz archiwalne klasyki. Na festiwalu odbędą się między innymi pokazy "Mordu" - nowego filmu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Shinyi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Tsukamoto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japońskiego mistrza kina autorskiego; "Hotelu nad rzeką" - kolejnego bardzo osobistego projektu reżysera Hong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Sang-soo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. Program obejmuje również najnowsze dzieła trzech twórców doskonale wykorzystujących konwencje kina gatunkowego. Feng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Xiaogang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w "Młodości" ukazuje inną perspektywę na czasy Rewolucji Kulturalnej.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Kazuya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Shiraishi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w "Bezimiennych ptakach" używa konwencji dramatu psychologicznego i tworzy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zniuansowany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obraz relacji 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 xml:space="preserve">miłosnych, zaś jego "Krew wilków" to brawurowe kino gangsterskie oparte na klasycznym motywie porachunków między dwoma klanami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yakuzy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.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Dain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Said w "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Dukunie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łączy dramat sądowy i horror, tworząc prawdziwie niepokojący obraz relacji między władzą a czarną magią. Opowieści grozy powracają również w serialu "Folklor" - przełomowej produkcji HBO Asia, w ramach której pięciu cenionych reżyserów kina azjatyckiego stworzyło antologię horroru zakorzenioną w podaniach ludowych regionu. W programie festiwalu znajdą się dwa odcinki serialu: "Folklor: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Pob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" Pen-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eka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Ratanaruanga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oraz "Folklor: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Toyol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Ho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Yuhanga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. Wśród wysokobudżetowych hitów królują chińskie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blockbustery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: "Operacja Morze Czerwone" w reżyserii mistrza kina akcji Dante Lama oraz kostiumowe "Braterstwo ostrzy: piekielna bitwa" Lu Yanga, utalentowanego reżysera młodej generacji.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Festiwal Filmowy Pięć Smaków to okazja do doświadczenia żywiołu różnorodności kina azjatyckiego na własnej skórze: zderzenia z wytworami szalonej wyobraźni radykalnych twórców, odkrywania azjatyckiej popkultury, dyskusji o sztuce, polityce i wyzwaniach współczesnego świata.</w:t>
      </w:r>
    </w:p>
    <w:p w:rsidR="003368F0" w:rsidRPr="003368F0" w:rsidRDefault="003368F0" w:rsidP="003368F0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3810000"/>
            <wp:effectExtent l="0" t="0" r="0" b="0"/>
            <wp:docPr id="6" name="Obraz 6" descr="https://www.piecsmakow.pl/pliki/wgrane/image/2018/mailing/Umrzesz_jutro_2018_Nawapol_THAMRONGRATTANARIT_10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iecsmakow.pl/pliki/wgrane/image/2018/mailing/Umrzesz_jutro_2018_Nawapol_THAMRONGRATTANARIT_10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Osią festiwalu, jak co roku, będzie sekcja konkursowa, Nowe Kino Azji,  prezentująca najnowsze autorskie produkcje z krajów takich jak: Tajwan, Singapur, Wietnam, Filipiny, Hongkong, Malezja, Japonia, Chiny czy Tajlandia. Towarzyszące pokazom spotkania z gośćmi staną się okazją do dyskusji o wartościach,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kinofilskich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fascynacjach i współczesnej kulturze. Nowe Kino Azji to miejsce spotkań awangardowych estetyk, kontrowersyjnych wypowiedzi, formalnych eksperymentów i świeżych głosów, komentujących historię krajów kontynentu jak i współczesną azjatycką rzeczywistość. 11 filmów powalczy o honorowe Grand Prix 12. AFF Pięć Smaków.</w:t>
      </w:r>
    </w:p>
    <w:p w:rsidR="003368F0" w:rsidRPr="003368F0" w:rsidRDefault="003368F0" w:rsidP="003368F0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743325"/>
            <wp:effectExtent l="0" t="0" r="0" b="9525"/>
            <wp:docPr id="5" name="Obraz 5" descr="https://www.piecsmakow.pl/pliki/wgrane/image/2018/mailing/funan1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iecsmakow.pl/pliki/wgrane/image/2018/mailing/funan1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Jedną z głównych sekcji będą Azjatyckie animacje – awangardowe i niezależne filmy animowane, łamiące konwencje i poszerzające granice gatunków. W programie znajdzie się między innymi laureat tegorocznego MFF w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Annecy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- "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Funan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Denisa Do, eksperymentalna "Krwawa wyprawa"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Ujichy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czy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dystopijny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"Strażnik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Dahufa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Busifana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</w:t>
      </w:r>
    </w:p>
    <w:p w:rsidR="003368F0" w:rsidRPr="003368F0" w:rsidRDefault="003368F0" w:rsidP="003368F0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819525"/>
            <wp:effectExtent l="0" t="0" r="0" b="9525"/>
            <wp:docPr id="4" name="Obraz 4" descr="https://www.piecsmakow.pl/pliki/wgrane/image/2018/mailing/The_Blood_of_Wolves_02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iecsmakow.pl/pliki/wgrane/image/2018/mailing/The_Blood_of_Wolves_02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Pokazy specjalne to sekcja obejmująca filmy o szczególnym znaczeniu dla azjatyckich kinematografii jak i dzieła twórców doskonale już znanych widzom festiwalu. W programie znajdzie się "Hotel nad rzeką" - jeden z najnowszych tytułów cenionego koreańskiego reżysera Hong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Sang-soo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radykalny "Mord"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Shinyi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Tsukamoto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hit chińskiego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box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office’u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"Operacja Morze Czerwone" Dante Lama czy mafijna historia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Kazuyi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Shiraishi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- "Krew wilków”.  </w:t>
      </w:r>
    </w:p>
    <w:p w:rsidR="003368F0" w:rsidRPr="003368F0" w:rsidRDefault="003368F0" w:rsidP="003368F0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781425"/>
            <wp:effectExtent l="0" t="0" r="0" b="9525"/>
            <wp:docPr id="3" name="Obraz 3" descr="https://www.piecsmakow.pl/pliki/wgrane/image/2018/mailing/Chang_Chen_as_Shen_Lian_-_last_fight_scene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iecsmakow.pl/pliki/wgrane/image/2018/mailing/Chang_Chen_as_Shen_Lian_-_last_fight_scene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 raz drugi Pięć Smaków współpracuje z Akademią Azjatyckich Nagród Filmowych, instytucją wspierającą promocję wysokiej jakości azjatyckiego kina komercyjnego. W przygotowanej w tym partnerstwie sekcji (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cinerama) znajdą się doskonałe produkcje gatunkowe i najnowsze dzieła znaczących twórców wyróżnione Azjatyckimi Nagrodami Filmowymi. Wśród tytułów tej sekcji znajdzie się między innymi kostiumowe kino walki "Braterstwo ostrzy: piekielna bitwa" Lu Yanga, thriller polityczny "Rok 1987" czy film akcji "Śmiertelny paradoks" Wilsona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Yip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</w:t>
      </w:r>
    </w:p>
    <w:p w:rsidR="003368F0" w:rsidRPr="003368F0" w:rsidRDefault="003368F0" w:rsidP="003368F0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219450"/>
            <wp:effectExtent l="0" t="0" r="0" b="0"/>
            <wp:docPr id="2" name="Obraz 2" descr="https://www.piecsmakow.pl/pliki/wgrane/image/2018/mailing/Youth05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iecsmakow.pl/pliki/wgrane/image/2018/mailing/Youth05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Dwunastą edycję festiwalu otworzy "Młodość" - spektakularna słodko-gorzka opowieść w reżyserii Feng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Xiaoganga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jednego z czołowych twórców chińskich. Filmem zamknięcia będzie tajwańska animacja "Ulica Szczęśliwa"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Sung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Hsin-yin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Reżyserka opowiada w nim o doświadczeniu pokoleniowym ludzi, którzy dorastali w czasach burzliwych zmian politycznych końca lat 80-tych na Tajwanie. </w:t>
      </w:r>
    </w:p>
    <w:p w:rsidR="003368F0" w:rsidRPr="003368F0" w:rsidRDefault="003368F0" w:rsidP="003368F0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4152900"/>
            <wp:effectExtent l="0" t="0" r="0" b="0"/>
            <wp:docPr id="1" name="Obraz 1" descr="https://www.piecsmakow.pl/pliki/wgrane/image/2018/mailing/PS-2018-Pies-Web-newsletter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iecsmakow.pl/pliki/wgrane/image/2018/mailing/PS-2018-Pies-Web-newsletter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>Pokazom filmowym towarzyszyć będzie bogaty program spotkań z twórcami i ekspertami, a także debaty i wykłady w ramach Akademii Azjatyckiej, pozwalające poznać i pogłębić kontekst pojawiających się w filmach tematów.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Podobnie jak w przypadku czterech poprzednich edycji, identyfikacja wizualna 12. AFF Pięć Smaków oparta jest na dalekowschodnim kalendarzu lunarnym i znakach zodiaku. Rok 2018 jest Rokiem Ziemskiego Psa.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Podczas 12. AFF Pięć Smaków zostanie pokazanych 37 filmów pełnometrażowych, 6 wybranych tytułów będzie można także zobaczyć we Wrocławiu w Kinie Nowe Horyzonty między 23 a 25 listopada.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All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films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are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presented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in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their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original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languages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with English and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Polish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subtitles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. The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full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program of the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festival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with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descriptions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of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all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movies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in English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are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available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on the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festival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website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: </w:t>
      </w:r>
      <w:hyperlink r:id="rId12" w:history="1">
        <w:r w:rsidRPr="003368F0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piecsmakow.pl</w:t>
        </w:r>
      </w:hyperlink>
    </w:p>
    <w:p w:rsidR="003368F0" w:rsidRPr="003368F0" w:rsidRDefault="003368F0" w:rsidP="003368F0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</w:tblGrid>
      <w:tr w:rsidR="003368F0" w:rsidRPr="003368F0" w:rsidTr="003368F0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368F0" w:rsidRPr="003368F0" w:rsidRDefault="003368F0" w:rsidP="003368F0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13" w:history="1">
              <w:r w:rsidRPr="003368F0">
                <w:rPr>
                  <w:rFonts w:ascii="Tahoma" w:eastAsia="Times New Roman" w:hAnsi="Tahoma" w:cs="Tahoma"/>
                  <w:color w:val="FFFFFF"/>
                  <w:sz w:val="20"/>
                  <w:szCs w:val="20"/>
                  <w:lang w:eastAsia="pl-PL"/>
                </w:rPr>
                <w:t>zobacz pełen program</w:t>
              </w:r>
            </w:hyperlink>
          </w:p>
        </w:tc>
      </w:tr>
    </w:tbl>
    <w:p w:rsidR="003368F0" w:rsidRPr="003368F0" w:rsidRDefault="003368F0" w:rsidP="003368F0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</w:tblGrid>
      <w:tr w:rsidR="003368F0" w:rsidRPr="003368F0" w:rsidTr="003368F0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368F0" w:rsidRPr="003368F0" w:rsidRDefault="003368F0" w:rsidP="003368F0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14" w:history="1">
              <w:r w:rsidRPr="003368F0">
                <w:rPr>
                  <w:rFonts w:ascii="Tahoma" w:eastAsia="Times New Roman" w:hAnsi="Tahoma" w:cs="Tahoma"/>
                  <w:color w:val="FFFFFF"/>
                  <w:sz w:val="20"/>
                  <w:szCs w:val="20"/>
                  <w:lang w:eastAsia="pl-PL"/>
                </w:rPr>
                <w:t>kalendarz projekcji</w:t>
              </w:r>
            </w:hyperlink>
          </w:p>
        </w:tc>
      </w:tr>
    </w:tbl>
    <w:p w:rsidR="003368F0" w:rsidRPr="003368F0" w:rsidRDefault="003368F0" w:rsidP="003368F0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Bilety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Bilet normalny: 22 zł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Bilety na pokazy w poniedziałek oraz seanse przed 17:00 w dni robocze: 17 zł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Uroczyste otwarcie festiwalu: 30 zł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Noc animacji: ciche zmory:  55 zł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Bilety na wszystkie seanse dostępne online na stronie piecsmakow.pl oraz w serwisie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Going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Bilety dostępne także w kasie kina, w którym odbywa się wybrany seans.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Kino Muranów - tel. 22 635 30 78, muranow.gutekfilm.pl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Kinoteka -  tel. 22 551 70 70, kinoteka.pl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Bilety w obydwu kinach są nienumerowane.</w:t>
      </w:r>
    </w:p>
    <w:p w:rsidR="003368F0" w:rsidRPr="003368F0" w:rsidRDefault="003368F0" w:rsidP="003368F0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Organizator: Fundacja Sztuki Arteria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Współfinansowanie: Miasto Stołeczne Warszawa, Ministerstwo Kultury i Dziedzictwa Narodowego,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CreateHK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HK Film Development Fund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Sponsorzy: Mitsubishi, Asia Travel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Partnerzy: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Films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Awards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Taiwan Film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Institute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 Muranów, Kinoteka, 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 xml:space="preserve">Culture.pl,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Film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MSN, MAIP, Tajfuny</w:t>
      </w:r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Patroni medialni: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Filmweb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Kino, Ekrany, CJG24, AMS,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Vogue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Polska,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Aktivist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Fiszki Polityki, Pismo., NN6T,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Going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Warsawholic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Enter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the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Room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Eastern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Kicks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Movie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Pulse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Cinema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Escapist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Asia in Cinema, Kultura Liberalna,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Contemporary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Lynx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in </w:t>
      </w:r>
      <w:proofErr w:type="spellStart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Your</w:t>
      </w:r>
      <w:proofErr w:type="spellEnd"/>
      <w:r w:rsidRPr="003368F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Pocket</w:t>
      </w:r>
    </w:p>
    <w:p w:rsidR="003368F0" w:rsidRPr="003368F0" w:rsidRDefault="003368F0" w:rsidP="003368F0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3368F0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3368F0" w:rsidRPr="003368F0" w:rsidRDefault="003368F0" w:rsidP="003368F0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Więcej na stronie </w:t>
      </w:r>
      <w:hyperlink r:id="rId15" w:tgtFrame="_blank" w:history="1">
        <w:r w:rsidRPr="003368F0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piecsmakow.pl</w:t>
        </w:r>
        <w:r w:rsidRPr="003368F0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br/>
        </w:r>
      </w:hyperlink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Śledź nas na </w:t>
      </w:r>
      <w:hyperlink r:id="rId16" w:history="1">
        <w:r w:rsidRPr="003368F0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Facebooku</w:t>
        </w:r>
      </w:hyperlink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 </w:t>
      </w:r>
      <w:proofErr w:type="spellStart"/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begin"/>
      </w:r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instrText xml:space="preserve"> HYPERLINK "https://twitter.com/Five_Flavours" </w:instrText>
      </w:r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separate"/>
      </w:r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Twitterze</w:t>
      </w:r>
      <w:proofErr w:type="spellEnd"/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 </w:t>
      </w:r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end"/>
      </w:r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i </w:t>
      </w:r>
      <w:hyperlink r:id="rId17" w:tgtFrame="_blank" w:history="1">
        <w:r w:rsidRPr="003368F0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Instagramie</w:t>
        </w:r>
      </w:hyperlink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 czytaj </w:t>
      </w:r>
      <w:hyperlink r:id="rId18" w:tgtFrame="_blank" w:history="1">
        <w:r w:rsidRPr="003368F0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blog.piecsmakow.pl</w:t>
        </w:r>
      </w:hyperlink>
      <w:r w:rsidRPr="003368F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.</w:t>
      </w:r>
    </w:p>
    <w:p w:rsidR="003F0568" w:rsidRDefault="003F0568">
      <w:bookmarkStart w:id="0" w:name="_GoBack"/>
      <w:bookmarkEnd w:id="0"/>
    </w:p>
    <w:sectPr w:rsidR="003F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F0"/>
    <w:rsid w:val="003368F0"/>
    <w:rsid w:val="003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CA28A-D20D-480D-95A7-E59FC12A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36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8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laimg">
    <w:name w:val="dlaimg"/>
    <w:basedOn w:val="Normalny"/>
    <w:rsid w:val="0033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368F0"/>
    <w:rPr>
      <w:color w:val="0000FF"/>
      <w:u w:val="single"/>
    </w:rPr>
  </w:style>
  <w:style w:type="paragraph" w:customStyle="1" w:styleId="odstep">
    <w:name w:val="odstep"/>
    <w:basedOn w:val="Normalny"/>
    <w:rsid w:val="0033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epm">
    <w:name w:val="podstepm"/>
    <w:basedOn w:val="Normalny"/>
    <w:rsid w:val="0033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6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piecsmakow.pl/lista.do" TargetMode="External"/><Relationship Id="rId18" Type="http://schemas.openxmlformats.org/officeDocument/2006/relationships/hyperlink" Target="https://www.piecsmakow.pl/blog.piecsmakow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piecsmakow.pl/" TargetMode="External"/><Relationship Id="rId17" Type="http://schemas.openxmlformats.org/officeDocument/2006/relationships/hyperlink" Target="http://www.instagram.com/piecsmakow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piecsmakow?fref=t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piecsmakow.pl/artykul.do?id=357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hyperlink" Target="https://www.piecsmakow.pl/lista.do" TargetMode="External"/><Relationship Id="rId9" Type="http://schemas.openxmlformats.org/officeDocument/2006/relationships/image" Target="media/image5.jpeg"/><Relationship Id="rId14" Type="http://schemas.openxmlformats.org/officeDocument/2006/relationships/hyperlink" Target="https://www.piecsmakow.pl/kalendarz.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arteria</dc:creator>
  <cp:keywords/>
  <dc:description/>
  <cp:lastModifiedBy>arteria</cp:lastModifiedBy>
  <cp:revision>1</cp:revision>
  <dcterms:created xsi:type="dcterms:W3CDTF">2018-12-18T13:10:00Z</dcterms:created>
  <dcterms:modified xsi:type="dcterms:W3CDTF">2018-12-18T13:11:00Z</dcterms:modified>
</cp:coreProperties>
</file>